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9225" w14:textId="77777777" w:rsidR="00A70FF2" w:rsidRDefault="00A70FF2" w:rsidP="00A70FF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Condiciones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>de cuotas junio 2023</w:t>
      </w:r>
    </w:p>
    <w:p w14:paraId="17ACA64C" w14:textId="77777777" w:rsidR="00A70FF2" w:rsidRDefault="00A70FF2" w:rsidP="00A70FF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MX"/>
        </w:rPr>
      </w:pPr>
    </w:p>
    <w:p w14:paraId="15896E62" w14:textId="20AF592C" w:rsidR="00A70FF2" w:rsidRDefault="00A70FF2" w:rsidP="00A70FF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MX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· CUOTA NUEVOS 2023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- </w:t>
      </w:r>
      <w:r w:rsidRPr="00A70FF2">
        <w:rPr>
          <w:rFonts w:ascii="Calibri" w:hAnsi="Calibri" w:cs="Calibri"/>
          <w:b/>
          <w:bCs/>
          <w:color w:val="000000"/>
          <w:sz w:val="22"/>
          <w:szCs w:val="22"/>
        </w:rPr>
        <w:t>$226.405</w:t>
      </w:r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</w:t>
      </w:r>
    </w:p>
    <w:p w14:paraId="1122D3BF" w14:textId="73068E7B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Times-Roman" w:hAnsi="Times-Roman" w:cs="Times-Roman"/>
          <w:lang w:val="es-MX"/>
        </w:rPr>
        <w:t xml:space="preserve">Cuota válida para autos nuevos 2023 con un valor comercial de $12.100.000, con crédito flexible 48 + 1 meses, con 30% de pie y 40% de cuotón, tasa 1,6%, CAE 25,66%, considerando el pago de la  primera cuota el 20/07/2023. Oferta válida hasta el 30 de junio 2023.  Aprobación de crédito sujeta a políticas crediticias de BK spa </w:t>
      </w:r>
    </w:p>
    <w:p w14:paraId="76E03AFF" w14:textId="77777777" w:rsidR="00A70FF2" w:rsidRDefault="00A70FF2" w:rsidP="00A70FF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MX"/>
        </w:rPr>
      </w:pPr>
    </w:p>
    <w:p w14:paraId="6CFF8A4A" w14:textId="2420C56D" w:rsidR="00A70FF2" w:rsidRDefault="00A70FF2" w:rsidP="00A70FF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MX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· CUOTA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>SEMINUEVOS</w:t>
      </w:r>
      <w:r w:rsidR="009436CE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2021/2022</w:t>
      </w:r>
      <w:r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- </w:t>
      </w:r>
      <w:r w:rsidRPr="00A70FF2">
        <w:rPr>
          <w:rFonts w:ascii="Calibri" w:hAnsi="Calibri" w:cs="Calibri"/>
          <w:b/>
          <w:bCs/>
          <w:color w:val="000000"/>
          <w:sz w:val="22"/>
          <w:szCs w:val="22"/>
        </w:rPr>
        <w:t>$2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01</w:t>
      </w:r>
      <w:r w:rsidRPr="00A70FF2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673</w:t>
      </w:r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</w:t>
      </w:r>
    </w:p>
    <w:p w14:paraId="3D9712AF" w14:textId="648ECE4C" w:rsidR="00A70FF2" w:rsidRPr="00A70FF2" w:rsidRDefault="00A70FF2" w:rsidP="00A70FF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s-MX"/>
        </w:rPr>
      </w:pPr>
      <w:r w:rsidRPr="00A70FF2">
        <w:rPr>
          <w:rFonts w:ascii="Calibri" w:hAnsi="Calibri" w:cs="Calibri"/>
          <w:lang w:val="es-MX"/>
        </w:rPr>
        <w:t>Cuota válida para autos seminuevos 2021 - 2022 con un valor comercial de $11.000.000, con crédito flexible 47 + 1 meses, con 30% de pie y 40% de cuotón, tasa 1,6%, CAE 24,66%, considerando el pago de la  primera cuota el 20/07/2023. Oferta válida hasta el 30 de junio 2023.  Aprobación de crédito sujeta a políticas crediticias de BK spa</w:t>
      </w:r>
      <w:r>
        <w:rPr>
          <w:rFonts w:ascii="Calibri" w:hAnsi="Calibri" w:cs="Calibri"/>
          <w:lang w:val="es-MX"/>
        </w:rPr>
        <w:t>.</w:t>
      </w:r>
    </w:p>
    <w:p w14:paraId="40BB502C" w14:textId="77777777" w:rsidR="00A70FF2" w:rsidRDefault="00A70FF2" w:rsidP="00A70FF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MX"/>
        </w:rPr>
      </w:pPr>
    </w:p>
    <w:p w14:paraId="2FE4DB73" w14:textId="13444851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Condiciones para acceder a </w:t>
      </w:r>
      <w:proofErr w:type="spellStart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- Personas dependiente </w:t>
      </w:r>
    </w:p>
    <w:p w14:paraId="79C3A404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No presentar protestos, morosidades ni juicios en el Poder Judicial ni en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previos con BK.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  <w:t xml:space="preserve">En el caso de rechazos anteriores por estas causas y la posterior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aclaración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estos, el rechazo se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mantendra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por 6 meses en el caso de las moras y protestos y por 12 meses en el caso de juicios. </w:t>
      </w:r>
    </w:p>
    <w:p w14:paraId="6178141A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No figurar en los listados y bases de datos que buscan prevenir los delitos asociados a la ley 20.393. En el caso de las Personas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Políticamente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Expuestas, la empresa se reserva el derecho de no otorgar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base al resultado del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análisis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que se haga caso a caso. </w:t>
      </w:r>
    </w:p>
    <w:p w14:paraId="56A823F4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cónyuges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y eventuales avales de los solicitantes deben cumplir con los mismos requisitos de comportamiento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señalados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los puntos anteriores. </w:t>
      </w:r>
    </w:p>
    <w:p w14:paraId="0B7820CF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Renta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líquida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mínima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mensual de $600.000, la que debe estar constituida principalmente por haberes imponibles y demostrables. </w:t>
      </w:r>
    </w:p>
    <w:p w14:paraId="1A8F5E86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La cuota no debe superar el 30% del ingreso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líquido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del solicitante. Para estos efectos, se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podra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complementar renta con un familiar directo (padres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cónyuge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hijos) en la medida en que uno de estos cumpla con el requisito de la renta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mínima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</w:p>
    <w:p w14:paraId="0929EC70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El endeudamiento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máximo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del solicitante no puede exceder de seis veces la renta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líquida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, considerando todas sus deudas (vigentes y 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solicitado). </w:t>
      </w:r>
    </w:p>
    <w:p w14:paraId="2860292E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Contrato de trabajo con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duración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indefinida </w:t>
      </w:r>
    </w:p>
    <w:p w14:paraId="0C188ECC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Ser mayor de 26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y menor de 65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. </w:t>
      </w:r>
    </w:p>
    <w:p w14:paraId="252AEDB8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Antigüedad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laboral de un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el empleo actual, la que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podra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ser menor si se acredita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antigüedad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</w:p>
    <w:p w14:paraId="7AEE7BDD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suficiente en el empleo anterior. </w:t>
      </w:r>
    </w:p>
    <w:p w14:paraId="2A12CD30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lastRenderedPageBreak/>
        <w:t xml:space="preserve">Nacionalidad chilena o extranjeros con residencia definitiva. </w:t>
      </w:r>
    </w:p>
    <w:p w14:paraId="2E5686AD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Se solicitará patrimonio (compuesto por propiedades 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) en casos calificados de monto, </w:t>
      </w:r>
    </w:p>
    <w:p w14:paraId="48796554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nacionalidad, domicilio, comportamiento y capacidad de pago. </w:t>
      </w:r>
    </w:p>
    <w:p w14:paraId="7431101E" w14:textId="77777777" w:rsidR="00A70FF2" w:rsidRPr="00A70FF2" w:rsidRDefault="00A70FF2" w:rsidP="00A70FF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Domicilio laboral y particular verificable. </w:t>
      </w:r>
    </w:p>
    <w:p w14:paraId="19444F7A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Documentación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para dependientes: </w:t>
      </w:r>
    </w:p>
    <w:p w14:paraId="6CA9C978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Liquidaciones de sueldo o de pensiones. Tres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últimas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para renta fija y 6 ultimas para renta variable. </w:t>
      </w:r>
    </w:p>
    <w:p w14:paraId="48A2EBBE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Certificado de AFP (verificable en sitio web AFP) y con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antigüedad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máxima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15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días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</w:p>
    <w:p w14:paraId="2D3AA846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Copia contrato trabajo o documento que acredite contrato a plazo indefinido y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antigüedad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laboral </w:t>
      </w:r>
    </w:p>
    <w:p w14:paraId="3E564D83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Acreditación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pie </w:t>
      </w:r>
    </w:p>
    <w:p w14:paraId="0FE86A64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Documentos que acrediten domicilio </w:t>
      </w:r>
    </w:p>
    <w:p w14:paraId="624642F6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Acreditación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patrimonio (escritura propiedad, certificado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avalúo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, dividendo, pago de </w:t>
      </w:r>
    </w:p>
    <w:p w14:paraId="3C83BFE5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contribuciones, certificado de anotaciones vigentes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motorizados, etc.). </w:t>
      </w:r>
    </w:p>
    <w:p w14:paraId="25657694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Informe deuda (SBIF). </w:t>
      </w:r>
    </w:p>
    <w:p w14:paraId="4082E30F" w14:textId="77777777" w:rsidR="00A70FF2" w:rsidRPr="00A70FF2" w:rsidRDefault="00A70FF2" w:rsidP="00A70FF2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(**) </w:t>
      </w:r>
    </w:p>
    <w:p w14:paraId="784D8160" w14:textId="2B2F3E6E" w:rsidR="00A70FF2" w:rsidRPr="00A70FF2" w:rsidRDefault="00A70FF2" w:rsidP="00A70FF2">
      <w:pPr>
        <w:rPr>
          <w:rFonts w:ascii="Times New Roman" w:eastAsia="Times New Roman" w:hAnsi="Times New Roman" w:cs="Times New Roman"/>
          <w:lang w:eastAsia="es-MX"/>
        </w:rPr>
      </w:pPr>
    </w:p>
    <w:p w14:paraId="5069324A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Condiciones para acceder a </w:t>
      </w:r>
      <w:proofErr w:type="spellStart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- Personas independiente </w:t>
      </w:r>
    </w:p>
    <w:p w14:paraId="6EBB28CE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No presentar protestos, morosidades ni juicios en el Poder Judicial ni en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previos con BK.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  <w:t xml:space="preserve">En el caso de rechazos anteriores por estas causas y la posterior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aclaración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estos, el rechazo se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mantendra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por 6 meses en el caso de las moras y protestos y por 12 meses en el caso de juicios. </w:t>
      </w:r>
    </w:p>
    <w:p w14:paraId="1D196491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No figurar en los listados y bases de datos que buscan prevenir los delitos asociados a la ley 20.393. En el caso de las Personas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Políticamente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Expuestas, la empresa se reserva el derecho de no otorgar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base al resultado del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análisis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que se haga caso a caso. </w:t>
      </w:r>
    </w:p>
    <w:p w14:paraId="7233E0B8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cónyuges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y eventuales avales de los solicitantes deben cumplir con los mismos requisitos de comportamiento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señalados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los puntos anteriores. </w:t>
      </w:r>
    </w:p>
    <w:p w14:paraId="4B40EF13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Renta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líquida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mínima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mensual y demostrable de $600.000 </w:t>
      </w:r>
    </w:p>
    <w:p w14:paraId="15208C0A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La cuota no debe superar el 30% del ingreso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líquido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del solicitante. Para estos efectos, se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podra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</w:t>
      </w:r>
    </w:p>
    <w:p w14:paraId="1CA910D6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complementar renta con un familiar directo (padres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cónyuge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hijos) en la medida en que uno de estos </w:t>
      </w:r>
    </w:p>
    <w:p w14:paraId="1CF793DF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cumpla con el requisito de la renta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mínima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</w:p>
    <w:p w14:paraId="60F09957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lastRenderedPageBreak/>
        <w:t xml:space="preserve">El endeudamiento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máximo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del solicitante no puede exceder de seis veces la renta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líquida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, </w:t>
      </w:r>
    </w:p>
    <w:p w14:paraId="09379BD0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considerando todas sus deudas (vigentes y 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solicitado). </w:t>
      </w:r>
    </w:p>
    <w:p w14:paraId="3561420C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Ser mayor de 26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y menor de 65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. </w:t>
      </w:r>
    </w:p>
    <w:p w14:paraId="6F2F84C6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Antigüedad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tres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la actividad 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profesión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. . </w:t>
      </w:r>
    </w:p>
    <w:p w14:paraId="0D058589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Nacionalidad chilena o extranjeros con residencia definitiva. </w:t>
      </w:r>
    </w:p>
    <w:p w14:paraId="27E097F0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Se solicitará patrimonio (compuesto por propiedades 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) equivalente a 3 veces el monto del </w:t>
      </w:r>
    </w:p>
    <w:p w14:paraId="6E318A62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solicitado. </w:t>
      </w:r>
    </w:p>
    <w:p w14:paraId="7D96B447" w14:textId="77777777" w:rsidR="00A70FF2" w:rsidRPr="00A70FF2" w:rsidRDefault="00A70FF2" w:rsidP="00A70FF2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Domicilio laboral y particular verificable. </w:t>
      </w:r>
    </w:p>
    <w:p w14:paraId="198F108A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Documentación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para independientes: </w:t>
      </w:r>
    </w:p>
    <w:p w14:paraId="207A44A5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Últimas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dos declaraciones de impuesto verificables y aceptadas por el SII </w:t>
      </w:r>
    </w:p>
    <w:p w14:paraId="0DA81E80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Últimas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24 declaraciones de IVA verificables y aceptadas por el SII </w:t>
      </w:r>
    </w:p>
    <w:p w14:paraId="05A6BC97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Ultimas 6 boletas de honorarios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electrónicas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verificables </w:t>
      </w:r>
    </w:p>
    <w:p w14:paraId="689DA726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Acreditación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pie </w:t>
      </w:r>
    </w:p>
    <w:p w14:paraId="032242C9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Copias de contrato de arriendo de propiedades </w:t>
      </w:r>
    </w:p>
    <w:p w14:paraId="5468D4A9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Certificado de alumnos trasladados, pago de asignaciones o cupos de transporte asignados </w:t>
      </w:r>
    </w:p>
    <w:p w14:paraId="54B347B7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Documentos que acrediten domicilio </w:t>
      </w:r>
    </w:p>
    <w:p w14:paraId="7CD30CAC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Acreditación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patrimonio (escritura propiedad, certificado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avalúo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, dividendo, pago de </w:t>
      </w:r>
    </w:p>
    <w:p w14:paraId="479A107B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contribuciones, certificado de anotaciones vigentes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motorizados, etc.). </w:t>
      </w:r>
    </w:p>
    <w:p w14:paraId="7C770B08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Informe deuda (SBIF). </w:t>
      </w:r>
    </w:p>
    <w:p w14:paraId="7DEF35A0" w14:textId="77777777" w:rsidR="00A70FF2" w:rsidRPr="00A70FF2" w:rsidRDefault="00A70FF2" w:rsidP="00A70FF2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(**) </w:t>
      </w:r>
    </w:p>
    <w:p w14:paraId="5CE947EA" w14:textId="59CDBEF7" w:rsidR="00A70FF2" w:rsidRPr="00A70FF2" w:rsidRDefault="00A70FF2" w:rsidP="00A70FF2">
      <w:pPr>
        <w:rPr>
          <w:rFonts w:ascii="Times New Roman" w:eastAsia="Times New Roman" w:hAnsi="Times New Roman" w:cs="Times New Roman"/>
          <w:lang w:eastAsia="es-MX"/>
        </w:rPr>
      </w:pPr>
    </w:p>
    <w:p w14:paraId="7C78C188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Condiciones para acceder a </w:t>
      </w:r>
      <w:proofErr w:type="spellStart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- Personas </w:t>
      </w:r>
      <w:proofErr w:type="spellStart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>Jurídicas</w:t>
      </w:r>
      <w:proofErr w:type="spellEnd"/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 </w:t>
      </w:r>
    </w:p>
    <w:p w14:paraId="3FA58354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Para el caso de la empresa, los socios, accionistas principales y representantes legales, no presentar protestos, morosidades ni juicios en el Poder Judicial ni en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previos con BK.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  <w:t xml:space="preserve">En el caso de rechazos anteriores por estas causas y la posterior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aclaración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estos, el rechazo se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mantendra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por 6 meses en el caso de las moras y protestos y por 12 meses en el caso de juicios. </w:t>
      </w:r>
    </w:p>
    <w:p w14:paraId="4BAC1058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No figurar en los listados y bases de datos que buscan prevenir los delitos asociados a la ley 20.393. En el caso de las Personas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Políticamente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Expuestas, la empresa se reserva el derecho de no otorgar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base al resultado del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análisis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que se haga caso a caso. </w:t>
      </w:r>
    </w:p>
    <w:p w14:paraId="22FBF037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cónyuges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y eventuales avales de los solicitantes deben cumplir con los mismos requisitos de comportamiento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señalados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en los puntos anteriores. </w:t>
      </w:r>
    </w:p>
    <w:p w14:paraId="363B2534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La empresa debe demostrar capacidad de pago de sus obligaciones vigentes y del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solicitado </w:t>
      </w:r>
    </w:p>
    <w:p w14:paraId="160F10B6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lastRenderedPageBreak/>
        <w:t xml:space="preserve">La empresa debe tener una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antigüedad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mínima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tres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</w:p>
    <w:p w14:paraId="5B00E145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Se solicitará patrimonio (compuesto por propiedades 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) equivalente a 3 veces el monto del </w:t>
      </w:r>
    </w:p>
    <w:p w14:paraId="4BCEF506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solicitado. </w:t>
      </w:r>
    </w:p>
    <w:p w14:paraId="5D9AC2AA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debe contar con el aval del/los socios principales y eventualmente de las empresas </w:t>
      </w:r>
    </w:p>
    <w:p w14:paraId="152AEBA5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relacionadas con que opera. </w:t>
      </w:r>
    </w:p>
    <w:p w14:paraId="2A9EE465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El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debe contar con Seguro de Desgravamen para el socio principal, el cual puede ser </w:t>
      </w:r>
    </w:p>
    <w:p w14:paraId="2CACCD29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contratado en forma directa por el cliente y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sera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aceptado en la medida que tenga las coberturas </w:t>
      </w:r>
    </w:p>
    <w:p w14:paraId="7C4768E5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solicitadas </w:t>
      </w:r>
    </w:p>
    <w:p w14:paraId="5A901293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Pie de 20% - 30 % pudiendo exigirse pies superiores para ciertos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y en casos calificados. </w:t>
      </w:r>
    </w:p>
    <w:p w14:paraId="64257521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Domicilio laboral y particular verificable. </w:t>
      </w:r>
    </w:p>
    <w:p w14:paraId="0C0B6A21" w14:textId="77777777" w:rsidR="00A70FF2" w:rsidRPr="00A70FF2" w:rsidRDefault="00A70FF2" w:rsidP="00A70FF2">
      <w:pPr>
        <w:numPr>
          <w:ilvl w:val="0"/>
          <w:numId w:val="5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usados con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antigüedad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máxima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7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años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. </w:t>
      </w:r>
    </w:p>
    <w:p w14:paraId="2CF3201F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Documentación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para Personas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Jurídicas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: </w:t>
      </w:r>
    </w:p>
    <w:p w14:paraId="06241E95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Últimas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dos declaraciones de impuesto verificables y aceptadas por el SII </w:t>
      </w:r>
    </w:p>
    <w:p w14:paraId="32B5DB06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Últimas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24 declaraciones de IVA verificables y aceptadas por el SII </w:t>
      </w:r>
    </w:p>
    <w:p w14:paraId="05A0450F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Dos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últimos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Estados Financieros con apertura detallada. </w:t>
      </w:r>
    </w:p>
    <w:p w14:paraId="7085F5B0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Acreditación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pie </w:t>
      </w:r>
    </w:p>
    <w:p w14:paraId="5E2F4557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Copias de contrato de arriendo de propiedades </w:t>
      </w:r>
    </w:p>
    <w:p w14:paraId="568403BB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Certificado de alumnos trasladados, pago de asignaciones o cupos de transporte asignados </w:t>
      </w:r>
    </w:p>
    <w:p w14:paraId="218FF0B5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Documentos que acrediten domicilio </w:t>
      </w:r>
    </w:p>
    <w:p w14:paraId="2A120614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Acreditación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patrimonio (escritura propiedad, certificado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avalúo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, dividendo, pago de </w:t>
      </w:r>
    </w:p>
    <w:p w14:paraId="107FFB32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contribuciones, certificado de anotaciones vigentes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motorizados, etc.). </w:t>
      </w:r>
    </w:p>
    <w:p w14:paraId="18D45D0C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Información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legal (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constitución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sociedad, modificaciones, extractos inscritos en los Registros de Comercio pertinente y publicaciones en el Diario Oficial, sesiones de directorios reducidas a escritura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pública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, certificados de vigencia, y toda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documentación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legal necesaria para verificar vigencia y </w:t>
      </w:r>
    </w:p>
    <w:p w14:paraId="26024B76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correcta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constitución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las sociedades). </w:t>
      </w:r>
    </w:p>
    <w:p w14:paraId="4115A6E3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Declaración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beneficiarios finales. </w:t>
      </w:r>
    </w:p>
    <w:p w14:paraId="76B03511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Informe deuda (SBIF). </w:t>
      </w:r>
    </w:p>
    <w:p w14:paraId="60F0CEE0" w14:textId="77777777" w:rsidR="00A70FF2" w:rsidRPr="00A70FF2" w:rsidRDefault="00A70FF2" w:rsidP="00A70FF2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(**) </w:t>
      </w:r>
    </w:p>
    <w:p w14:paraId="113D5167" w14:textId="0BD8957C" w:rsidR="00A70FF2" w:rsidRPr="00A70FF2" w:rsidRDefault="00A70FF2" w:rsidP="00A70FF2">
      <w:pPr>
        <w:rPr>
          <w:rFonts w:ascii="Times New Roman" w:eastAsia="Times New Roman" w:hAnsi="Times New Roman" w:cs="Times New Roman"/>
          <w:lang w:eastAsia="es-MX"/>
        </w:rPr>
      </w:pPr>
    </w:p>
    <w:p w14:paraId="786890B7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 xml:space="preserve">Condiciones generales de financiamiento: </w:t>
      </w:r>
    </w:p>
    <w:p w14:paraId="5E84B470" w14:textId="77777777" w:rsidR="00A70FF2" w:rsidRPr="00A70FF2" w:rsidRDefault="00A70FF2" w:rsidP="00A70FF2">
      <w:pPr>
        <w:numPr>
          <w:ilvl w:val="0"/>
          <w:numId w:val="7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Nuevos uso particular </w:t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Piemínimode20%(*) </w:t>
      </w:r>
    </w:p>
    <w:p w14:paraId="240B258D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Plazomáximo60meses </w:t>
      </w:r>
    </w:p>
    <w:p w14:paraId="5AAC452C" w14:textId="77777777" w:rsidR="00A70FF2" w:rsidRPr="00A70FF2" w:rsidRDefault="00A70FF2" w:rsidP="00A70FF2">
      <w:pPr>
        <w:numPr>
          <w:ilvl w:val="0"/>
          <w:numId w:val="7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Nuevos uso comercial </w:t>
      </w:r>
    </w:p>
    <w:p w14:paraId="1DE6969B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Pie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mínimo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del 20% (*) </w:t>
      </w:r>
    </w:p>
    <w:p w14:paraId="322C882F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Plazomáximo48 </w:t>
      </w:r>
    </w:p>
    <w:p w14:paraId="71713EAD" w14:textId="77777777" w:rsidR="00A70FF2" w:rsidRPr="00A70FF2" w:rsidRDefault="00A70FF2" w:rsidP="00A70FF2">
      <w:pPr>
        <w:numPr>
          <w:ilvl w:val="0"/>
          <w:numId w:val="8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usados uso particular </w:t>
      </w:r>
    </w:p>
    <w:p w14:paraId="207E5741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Antigüedadmáxima7años </w:t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Piemínimode20%(*)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Plazomáximo36meses </w:t>
      </w:r>
    </w:p>
    <w:p w14:paraId="29E61B60" w14:textId="77777777" w:rsidR="00A70FF2" w:rsidRPr="00A70FF2" w:rsidRDefault="00A70FF2" w:rsidP="00A70FF2">
      <w:pPr>
        <w:numPr>
          <w:ilvl w:val="0"/>
          <w:numId w:val="8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Usados uso comercial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Antigüedadmáximade4años </w:t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Piemínimo20%(*)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Plazomáximo36meses </w:t>
      </w:r>
    </w:p>
    <w:p w14:paraId="7BB505A4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(*) Pies superiores para ciertos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vehículos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y en casos calificados. </w:t>
      </w:r>
    </w:p>
    <w:p w14:paraId="6AA667A0" w14:textId="77777777" w:rsidR="00A70FF2" w:rsidRPr="00A70FF2" w:rsidRDefault="00A70FF2" w:rsidP="00A70FF2">
      <w:pPr>
        <w:numPr>
          <w:ilvl w:val="0"/>
          <w:numId w:val="9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Todos los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deben contar con cobertura de Seguro de Desgravamen para el titular y avales (en el caso de personas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jurídicas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)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  <w:t xml:space="preserve">El Seguro de Desgravamen puede ser contratado en forma directa por el cliente y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sera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aceptado en la medida que tenga las coberturas solicitadas. </w:t>
      </w:r>
    </w:p>
    <w:p w14:paraId="0CE2597E" w14:textId="77777777" w:rsidR="00A70FF2" w:rsidRPr="00A70FF2" w:rsidRDefault="00A70FF2" w:rsidP="00A70FF2">
      <w:pPr>
        <w:numPr>
          <w:ilvl w:val="0"/>
          <w:numId w:val="9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Todos los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créditos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para personas naturales dependientes con renta inferior a $ 1.000.000 deben contar con Seguro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Cesantía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,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  <w:t xml:space="preserve">El seguro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Cesantía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puede ser contratado en forma directa por el cliente y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sera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aceptado en la medida que tenga las coberturas solicitadas. </w:t>
      </w:r>
    </w:p>
    <w:p w14:paraId="628FED9F" w14:textId="77777777" w:rsidR="00A70FF2" w:rsidRPr="00A70FF2" w:rsidRDefault="00A70FF2" w:rsidP="00A70FF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(**) Se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exigira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́ la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documentación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respaldo necesaria para que la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evaluación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de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crédito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: </w:t>
      </w:r>
    </w:p>
    <w:p w14:paraId="469BC51A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Permita llegar a un adecuado conocimiento del cliente, de sus actividades e ingresos.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Sea posible establecer la razonabilidad o coherencia entre esas actividades e ingresos y </w:t>
      </w:r>
    </w:p>
    <w:p w14:paraId="60E55634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las operaciones o productos que solicita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br/>
      </w:r>
      <w:r w:rsidRPr="00A70FF2">
        <w:rPr>
          <w:rFonts w:ascii="CourierNewPSMT" w:eastAsia="Times New Roman" w:hAnsi="CourierNewPSMT" w:cs="CourierNewPSMT"/>
          <w:sz w:val="22"/>
          <w:szCs w:val="22"/>
          <w:lang w:eastAsia="es-MX"/>
        </w:rPr>
        <w:t xml:space="preserve">o </w:t>
      </w: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La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información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permita establecer razonabilidad financiera,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económica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 o </w:t>
      </w:r>
      <w:proofErr w:type="spellStart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>jurídica</w:t>
      </w:r>
      <w:proofErr w:type="spellEnd"/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, o bien, </w:t>
      </w:r>
    </w:p>
    <w:p w14:paraId="5928E7F9" w14:textId="77777777" w:rsidR="00A70FF2" w:rsidRPr="00A70FF2" w:rsidRDefault="00A70FF2" w:rsidP="00A70F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A70FF2">
        <w:rPr>
          <w:rFonts w:ascii="Calibri" w:eastAsia="Times New Roman" w:hAnsi="Calibri" w:cs="Calibri"/>
          <w:sz w:val="22"/>
          <w:szCs w:val="22"/>
          <w:lang w:eastAsia="es-MX"/>
        </w:rPr>
        <w:t xml:space="preserve">permitan justificar sus transacciones u operaciones. </w:t>
      </w:r>
    </w:p>
    <w:p w14:paraId="5D26FFCC" w14:textId="77777777" w:rsidR="00D7063A" w:rsidRDefault="00D7063A"/>
    <w:sectPr w:rsidR="00D70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5A0"/>
    <w:multiLevelType w:val="multilevel"/>
    <w:tmpl w:val="E4C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E0673"/>
    <w:multiLevelType w:val="multilevel"/>
    <w:tmpl w:val="3BB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86199"/>
    <w:multiLevelType w:val="multilevel"/>
    <w:tmpl w:val="FBE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3307D"/>
    <w:multiLevelType w:val="multilevel"/>
    <w:tmpl w:val="BE74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BA0926"/>
    <w:multiLevelType w:val="multilevel"/>
    <w:tmpl w:val="6FEC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3C5984"/>
    <w:multiLevelType w:val="multilevel"/>
    <w:tmpl w:val="EC2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1D43C4"/>
    <w:multiLevelType w:val="multilevel"/>
    <w:tmpl w:val="EEF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CC422D"/>
    <w:multiLevelType w:val="multilevel"/>
    <w:tmpl w:val="11C8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214B43"/>
    <w:multiLevelType w:val="multilevel"/>
    <w:tmpl w:val="41B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1012119">
    <w:abstractNumId w:val="3"/>
  </w:num>
  <w:num w:numId="2" w16cid:durableId="270166728">
    <w:abstractNumId w:val="4"/>
  </w:num>
  <w:num w:numId="3" w16cid:durableId="1355574376">
    <w:abstractNumId w:val="8"/>
  </w:num>
  <w:num w:numId="4" w16cid:durableId="631835463">
    <w:abstractNumId w:val="1"/>
  </w:num>
  <w:num w:numId="5" w16cid:durableId="1350640041">
    <w:abstractNumId w:val="2"/>
  </w:num>
  <w:num w:numId="6" w16cid:durableId="388697825">
    <w:abstractNumId w:val="5"/>
  </w:num>
  <w:num w:numId="7" w16cid:durableId="34237969">
    <w:abstractNumId w:val="0"/>
  </w:num>
  <w:num w:numId="8" w16cid:durableId="1302534876">
    <w:abstractNumId w:val="7"/>
  </w:num>
  <w:num w:numId="9" w16cid:durableId="512379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F2"/>
    <w:rsid w:val="009436CE"/>
    <w:rsid w:val="00A70FF2"/>
    <w:rsid w:val="00D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99982"/>
  <w15:chartTrackingRefBased/>
  <w15:docId w15:val="{001BE55B-DCFA-4C49-998B-D315466B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F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Bastias Fernando</dc:creator>
  <cp:keywords/>
  <dc:description/>
  <cp:lastModifiedBy>Vega Bastias Fernando</cp:lastModifiedBy>
  <cp:revision>1</cp:revision>
  <cp:lastPrinted>2023-06-05T06:10:00Z</cp:lastPrinted>
  <dcterms:created xsi:type="dcterms:W3CDTF">2023-06-05T06:01:00Z</dcterms:created>
  <dcterms:modified xsi:type="dcterms:W3CDTF">2023-06-05T06:15:00Z</dcterms:modified>
</cp:coreProperties>
</file>